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5" w:rsidRDefault="003F16D5" w:rsidP="003F16D5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В установленных случаях кредитная и </w:t>
      </w:r>
      <w:proofErr w:type="spellStart"/>
      <w:r>
        <w:rPr>
          <w:b/>
          <w:bCs/>
        </w:rPr>
        <w:t>микрофинансовая</w:t>
      </w:r>
      <w:proofErr w:type="spellEnd"/>
      <w:r>
        <w:rPr>
          <w:b/>
          <w:bCs/>
        </w:rPr>
        <w:t xml:space="preserve"> организации</w:t>
      </w:r>
      <w:r>
        <w:rPr>
          <w:b/>
          <w:bCs/>
        </w:rPr>
        <w:t xml:space="preserve"> с 01.01.2024 </w:t>
      </w:r>
      <w:proofErr w:type="gramStart"/>
      <w:r>
        <w:rPr>
          <w:b/>
          <w:bCs/>
        </w:rPr>
        <w:t xml:space="preserve">года </w:t>
      </w:r>
      <w:r>
        <w:rPr>
          <w:b/>
          <w:bCs/>
        </w:rPr>
        <w:t xml:space="preserve"> обязаны</w:t>
      </w:r>
      <w:proofErr w:type="gramEnd"/>
      <w:r>
        <w:rPr>
          <w:b/>
          <w:bCs/>
        </w:rPr>
        <w:t xml:space="preserve"> рассчитывать </w:t>
      </w:r>
      <w:bookmarkStart w:id="0" w:name="_GoBack"/>
      <w:r>
        <w:rPr>
          <w:b/>
          <w:bCs/>
        </w:rPr>
        <w:t xml:space="preserve">показатель долговой нагрузки (ПДН) по каждому заемщику </w:t>
      </w:r>
    </w:p>
    <w:bookmarkEnd w:id="0"/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Закон о потребительском кредите (займе) дополнен новой </w:t>
      </w:r>
      <w:hyperlink r:id="rId4" w:history="1">
        <w:r>
          <w:rPr>
            <w:rStyle w:val="a4"/>
          </w:rPr>
          <w:t>статьей 5.1</w:t>
        </w:r>
      </w:hyperlink>
      <w:r>
        <w:t xml:space="preserve"> "Показатель долговой нагрузки заемщика".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Указанный показатель рассчитывается при принятии следующих решений: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 предоставлении потребительского кредита (займа);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об увеличении размера среднемесячного платежа;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об увеличении лимита кредитования;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о продлении срока действия договора потребительского кредита (займа) с лимитом кредитования.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Также установлены </w:t>
      </w:r>
      <w:hyperlink r:id="rId5" w:history="1">
        <w:r>
          <w:rPr>
            <w:rStyle w:val="a4"/>
          </w:rPr>
          <w:t>случаи</w:t>
        </w:r>
      </w:hyperlink>
      <w:r>
        <w:t xml:space="preserve">, при которых ПДН заемщика необходимо заново рассчитывать, а также </w:t>
      </w:r>
      <w:hyperlink r:id="rId6" w:history="1">
        <w:r>
          <w:rPr>
            <w:rStyle w:val="a4"/>
          </w:rPr>
          <w:t>случаи</w:t>
        </w:r>
      </w:hyperlink>
      <w:r>
        <w:t xml:space="preserve">, при которых ПДН не рассчитывается.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Кредитные и </w:t>
      </w:r>
      <w:proofErr w:type="spellStart"/>
      <w:r>
        <w:t>микрофинансовые</w:t>
      </w:r>
      <w:proofErr w:type="spellEnd"/>
      <w:r>
        <w:t xml:space="preserve"> организации обязаны определить во внутреннем документе в соответствии с установленными </w:t>
      </w:r>
      <w:hyperlink r:id="rId7" w:history="1">
        <w:r>
          <w:rPr>
            <w:rStyle w:val="a4"/>
          </w:rPr>
          <w:t>требованиями</w:t>
        </w:r>
      </w:hyperlink>
      <w:r>
        <w:t xml:space="preserve"> порядок расчета суммы величин среднемесячных платежей и расчета величины среднемесячного дохода заемщика.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Если значение ПДН заемщика превышает 50%, то необходимо </w:t>
      </w:r>
      <w:hyperlink r:id="rId8" w:history="1">
        <w:r>
          <w:rPr>
            <w:rStyle w:val="a4"/>
          </w:rPr>
          <w:t>уведомить</w:t>
        </w:r>
      </w:hyperlink>
      <w:r>
        <w:t xml:space="preserve"> заемщика в письменной форме о существующем риске неисполнения им обязательств и риске применения к нему за такое неисполнение штрафных санкций.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При уступке кредитной или </w:t>
      </w:r>
      <w:proofErr w:type="spellStart"/>
      <w:r>
        <w:t>микрофинансовой</w:t>
      </w:r>
      <w:proofErr w:type="spellEnd"/>
      <w:r>
        <w:t xml:space="preserve"> организацией прав (требований) по договору потребительского кредита (займа), в том числе ипотечному, кредитор обязан передать указанной организации значение ПДН заемщика, рассчитанное на самую позднюю дату в случае, если в отношении такого договора ПДН подлежал расчету.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Корреспондирующие изменения внесены в ряд указаний Банка России. </w:t>
      </w:r>
    </w:p>
    <w:p w:rsidR="003F16D5" w:rsidRDefault="003F16D5" w:rsidP="003F16D5">
      <w:pPr>
        <w:pStyle w:val="a3"/>
        <w:spacing w:before="70" w:beforeAutospacing="0" w:after="0" w:afterAutospacing="0" w:line="120" w:lineRule="atLeast"/>
        <w:jc w:val="both"/>
      </w:pPr>
      <w:r>
        <w:t xml:space="preserve">(Федеральный </w:t>
      </w:r>
      <w:hyperlink r:id="rId9" w:history="1">
        <w:r>
          <w:rPr>
            <w:rStyle w:val="a4"/>
          </w:rPr>
          <w:t>закон</w:t>
        </w:r>
      </w:hyperlink>
      <w:r>
        <w:t xml:space="preserve"> от 29.12.2022 N 601-ФЗ; Указания Банка России от 16.10.2023 </w:t>
      </w:r>
      <w:hyperlink r:id="rId10" w:history="1">
        <w:r>
          <w:rPr>
            <w:rStyle w:val="a4"/>
          </w:rPr>
          <w:t>N 6577-У</w:t>
        </w:r>
      </w:hyperlink>
      <w:r>
        <w:t xml:space="preserve">, </w:t>
      </w:r>
      <w:hyperlink r:id="rId11" w:history="1">
        <w:r>
          <w:rPr>
            <w:rStyle w:val="a4"/>
          </w:rPr>
          <w:t>N 6578-У</w:t>
        </w:r>
      </w:hyperlink>
      <w:r>
        <w:t xml:space="preserve"> и </w:t>
      </w:r>
      <w:hyperlink r:id="rId12" w:history="1">
        <w:r>
          <w:rPr>
            <w:rStyle w:val="a4"/>
          </w:rPr>
          <w:t>N 6579-У</w:t>
        </w:r>
      </w:hyperlink>
      <w:r>
        <w:t xml:space="preserve">; Информационные письма Банка России от 19.12.2023 </w:t>
      </w:r>
      <w:hyperlink r:id="rId13" w:history="1">
        <w:r>
          <w:rPr>
            <w:rStyle w:val="a4"/>
          </w:rPr>
          <w:t>N ИН-018-35/65</w:t>
        </w:r>
      </w:hyperlink>
      <w:r>
        <w:t xml:space="preserve"> и от 29.12.2023 </w:t>
      </w:r>
      <w:hyperlink r:id="rId14" w:history="1">
        <w:r>
          <w:rPr>
            <w:rStyle w:val="a4"/>
          </w:rPr>
          <w:t>N ИН-018-35/77</w:t>
        </w:r>
      </w:hyperlink>
      <w:r>
        <w:t xml:space="preserve">) </w:t>
      </w:r>
    </w:p>
    <w:p w:rsidR="00EB51DF" w:rsidRDefault="003F16D5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C"/>
    <w:rsid w:val="003F16D5"/>
    <w:rsid w:val="007F08CF"/>
    <w:rsid w:val="00A75B3C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46E1"/>
  <w15:chartTrackingRefBased/>
  <w15:docId w15:val="{FA434727-4B7E-4F9C-B178-77BC00D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2766&amp;dst=322&amp;field=134&amp;date=16.01.2024" TargetMode="External"/><Relationship Id="rId13" Type="http://schemas.openxmlformats.org/officeDocument/2006/relationships/hyperlink" Target="https://login.consultant.ru/link/?req=doc&amp;demo=2&amp;base=LAW&amp;n=464922&amp;date=16.01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64474&amp;dst=100004&amp;field=134&amp;date=16.01.2024" TargetMode="External"/><Relationship Id="rId12" Type="http://schemas.openxmlformats.org/officeDocument/2006/relationships/hyperlink" Target="https://login.consultant.ru/link/?req=doc&amp;demo=2&amp;base=LAW&amp;n=464474&amp;date=16.01.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2766&amp;dst=324&amp;field=134&amp;date=16.01.2024" TargetMode="External"/><Relationship Id="rId11" Type="http://schemas.openxmlformats.org/officeDocument/2006/relationships/hyperlink" Target="https://login.consultant.ru/link/?req=doc&amp;demo=2&amp;base=LAW&amp;n=464473&amp;date=16.01.2024" TargetMode="External"/><Relationship Id="rId5" Type="http://schemas.openxmlformats.org/officeDocument/2006/relationships/hyperlink" Target="https://login.consultant.ru/link/?req=doc&amp;demo=2&amp;base=LAW&amp;n=452766&amp;dst=316&amp;field=134&amp;date=16.01.20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64463&amp;date=16.01.2024" TargetMode="External"/><Relationship Id="rId4" Type="http://schemas.openxmlformats.org/officeDocument/2006/relationships/hyperlink" Target="https://login.consultant.ru/link/?req=doc&amp;demo=2&amp;base=LAW&amp;n=452766&amp;dst=310&amp;field=134&amp;date=16.01.2024" TargetMode="External"/><Relationship Id="rId9" Type="http://schemas.openxmlformats.org/officeDocument/2006/relationships/hyperlink" Target="https://login.consultant.ru/link/?req=doc&amp;demo=2&amp;base=LAW&amp;n=436150&amp;date=16.01.2024" TargetMode="External"/><Relationship Id="rId14" Type="http://schemas.openxmlformats.org/officeDocument/2006/relationships/hyperlink" Target="https://login.consultant.ru/link/?req=doc&amp;demo=2&amp;base=LAW&amp;n=466418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>diakov.net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2024-02-01T10:58:00Z</dcterms:created>
  <dcterms:modified xsi:type="dcterms:W3CDTF">2024-02-01T10:59:00Z</dcterms:modified>
</cp:coreProperties>
</file>